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220" w:type="dxa"/>
        <w:tblInd w:w="-522" w:type="dxa"/>
        <w:tblLook w:val="04A0" w:firstRow="1" w:lastRow="0" w:firstColumn="1" w:lastColumn="0" w:noHBand="0" w:noVBand="1"/>
      </w:tblPr>
      <w:tblGrid>
        <w:gridCol w:w="1710"/>
        <w:gridCol w:w="2016"/>
        <w:gridCol w:w="3294"/>
        <w:gridCol w:w="1620"/>
        <w:gridCol w:w="5580"/>
      </w:tblGrid>
      <w:tr w:rsidR="00A56CA8" w:rsidRPr="00542E86" w14:paraId="2EC679E3" w14:textId="77777777" w:rsidTr="000F21A4">
        <w:trPr>
          <w:trHeight w:val="170"/>
        </w:trPr>
        <w:tc>
          <w:tcPr>
            <w:tcW w:w="1710" w:type="dxa"/>
          </w:tcPr>
          <w:p w14:paraId="6235C281" w14:textId="77777777" w:rsidR="00A56CA8" w:rsidRPr="00D05219" w:rsidRDefault="00A56CA8" w:rsidP="00D05219">
            <w:pPr>
              <w:rPr>
                <w:rFonts w:ascii="Arial" w:hAnsi="Arial"/>
                <w:b/>
                <w:sz w:val="18"/>
                <w:szCs w:val="16"/>
              </w:rPr>
            </w:pPr>
            <w:r w:rsidRPr="00D05219">
              <w:rPr>
                <w:rFonts w:ascii="Arial" w:hAnsi="Arial"/>
                <w:b/>
                <w:sz w:val="18"/>
                <w:szCs w:val="16"/>
              </w:rPr>
              <w:t>Drug</w:t>
            </w:r>
          </w:p>
        </w:tc>
        <w:tc>
          <w:tcPr>
            <w:tcW w:w="2016" w:type="dxa"/>
          </w:tcPr>
          <w:p w14:paraId="4373AC00" w14:textId="77777777" w:rsidR="00A56CA8" w:rsidRPr="00D05219" w:rsidRDefault="00A56CA8" w:rsidP="00D05219">
            <w:pPr>
              <w:rPr>
                <w:rFonts w:ascii="Arial" w:hAnsi="Arial"/>
                <w:b/>
                <w:sz w:val="18"/>
                <w:szCs w:val="16"/>
              </w:rPr>
            </w:pPr>
            <w:r w:rsidRPr="00D05219">
              <w:rPr>
                <w:rFonts w:ascii="Arial" w:hAnsi="Arial"/>
                <w:b/>
                <w:sz w:val="18"/>
                <w:szCs w:val="16"/>
              </w:rPr>
              <w:t>Mechanism</w:t>
            </w:r>
          </w:p>
        </w:tc>
        <w:tc>
          <w:tcPr>
            <w:tcW w:w="3294" w:type="dxa"/>
          </w:tcPr>
          <w:p w14:paraId="479A4D5F" w14:textId="77777777" w:rsidR="00A56CA8" w:rsidRPr="00D05219" w:rsidRDefault="00A56CA8" w:rsidP="00D05219">
            <w:pPr>
              <w:rPr>
                <w:rFonts w:ascii="Arial" w:hAnsi="Arial"/>
                <w:b/>
                <w:sz w:val="18"/>
                <w:szCs w:val="16"/>
              </w:rPr>
            </w:pPr>
            <w:r w:rsidRPr="00D05219">
              <w:rPr>
                <w:rFonts w:ascii="Arial" w:hAnsi="Arial"/>
                <w:b/>
                <w:sz w:val="18"/>
                <w:szCs w:val="16"/>
              </w:rPr>
              <w:t>Dose</w:t>
            </w:r>
          </w:p>
        </w:tc>
        <w:tc>
          <w:tcPr>
            <w:tcW w:w="1620" w:type="dxa"/>
          </w:tcPr>
          <w:p w14:paraId="05971965" w14:textId="29173B09" w:rsidR="00A56CA8" w:rsidRPr="00D05219" w:rsidRDefault="00F4183E" w:rsidP="00D05219">
            <w:pPr>
              <w:rPr>
                <w:rFonts w:ascii="Arial" w:hAnsi="Arial"/>
                <w:b/>
                <w:sz w:val="18"/>
                <w:szCs w:val="16"/>
              </w:rPr>
            </w:pPr>
            <w:r>
              <w:rPr>
                <w:rFonts w:ascii="Arial" w:hAnsi="Arial"/>
                <w:b/>
                <w:sz w:val="18"/>
                <w:szCs w:val="16"/>
              </w:rPr>
              <w:t xml:space="preserve">Approximate </w:t>
            </w:r>
            <w:r w:rsidR="00A56CA8" w:rsidRPr="00D05219">
              <w:rPr>
                <w:rFonts w:ascii="Arial" w:hAnsi="Arial"/>
                <w:b/>
                <w:sz w:val="18"/>
                <w:szCs w:val="16"/>
              </w:rPr>
              <w:t>Cost</w:t>
            </w:r>
          </w:p>
        </w:tc>
        <w:tc>
          <w:tcPr>
            <w:tcW w:w="5580" w:type="dxa"/>
          </w:tcPr>
          <w:p w14:paraId="10B5F00A" w14:textId="77777777" w:rsidR="00A56CA8" w:rsidRPr="00D05219" w:rsidRDefault="00A56CA8" w:rsidP="00D05219">
            <w:pPr>
              <w:rPr>
                <w:rFonts w:ascii="Arial" w:hAnsi="Arial"/>
                <w:b/>
                <w:sz w:val="18"/>
                <w:szCs w:val="16"/>
              </w:rPr>
            </w:pPr>
            <w:r w:rsidRPr="00D05219">
              <w:rPr>
                <w:rFonts w:ascii="Arial" w:hAnsi="Arial"/>
                <w:b/>
                <w:sz w:val="18"/>
                <w:szCs w:val="16"/>
              </w:rPr>
              <w:t>Notes</w:t>
            </w:r>
          </w:p>
        </w:tc>
      </w:tr>
      <w:tr w:rsidR="00A56CA8" w:rsidRPr="00542E86" w14:paraId="7268F344" w14:textId="77777777" w:rsidTr="00D05219">
        <w:tc>
          <w:tcPr>
            <w:tcW w:w="1710" w:type="dxa"/>
          </w:tcPr>
          <w:p w14:paraId="0F3ED388" w14:textId="77777777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Danazol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Danocrine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) </w:t>
            </w:r>
          </w:p>
          <w:p w14:paraId="7845C89E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282E48CA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50, 100, 200 mg capsules</w:t>
            </w:r>
          </w:p>
        </w:tc>
        <w:tc>
          <w:tcPr>
            <w:tcW w:w="2016" w:type="dxa"/>
          </w:tcPr>
          <w:p w14:paraId="12AB3CBC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Antigonadotropic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agent; increases production of C1INH.</w:t>
            </w:r>
          </w:p>
        </w:tc>
        <w:tc>
          <w:tcPr>
            <w:tcW w:w="3294" w:type="dxa"/>
          </w:tcPr>
          <w:p w14:paraId="4E45B97C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Adult:</w:t>
            </w:r>
          </w:p>
          <w:p w14:paraId="63E9A4EF" w14:textId="77777777" w:rsidR="00A56CA8" w:rsidRPr="00D05219" w:rsidRDefault="00A56CA8" w:rsidP="00D05219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Short-term prophylaxis for minor procedure: 2.5-10 mg/Kg/d, maximum 600 mg/d for 5 days prior and 2-5 days after event</w:t>
            </w:r>
            <w:r w:rsidRPr="00D05219">
              <w:rPr>
                <w:rFonts w:ascii="Arial" w:hAnsi="Arial"/>
                <w:sz w:val="16"/>
                <w:szCs w:val="16"/>
              </w:rPr>
              <w:br/>
            </w:r>
          </w:p>
          <w:p w14:paraId="15694B54" w14:textId="77777777" w:rsidR="00A56CA8" w:rsidRPr="00D05219" w:rsidRDefault="00A56CA8" w:rsidP="00D05219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Long term prophylaxis: ≤200 mg/day, use lowest effective dose (including alternate day or 2-3 times/week regimens)</w:t>
            </w:r>
          </w:p>
          <w:p w14:paraId="037B9B9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380C29E0" w14:textId="77777777" w:rsidR="00A56CA8" w:rsidRPr="00D05219" w:rsidRDefault="00A56CA8" w:rsidP="00D05219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Acute attack: some patients on androgens can abort attacks by doubling their prophylaxis dose at the first signs or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prodrome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of an attack.</w:t>
            </w:r>
          </w:p>
          <w:p w14:paraId="45AF3730" w14:textId="77777777" w:rsidR="00A56CA8" w:rsidRPr="00D05219" w:rsidRDefault="00A56CA8" w:rsidP="00D05219">
            <w:pPr>
              <w:pStyle w:val="ListParagrap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DE50AD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x 50 mg: $53</w:t>
            </w:r>
          </w:p>
          <w:p w14:paraId="06DDFB9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x 100 mg: $69</w:t>
            </w:r>
          </w:p>
          <w:p w14:paraId="0D092107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x 200 mg: $111</w:t>
            </w:r>
          </w:p>
        </w:tc>
        <w:tc>
          <w:tcPr>
            <w:tcW w:w="5580" w:type="dxa"/>
          </w:tcPr>
          <w:p w14:paraId="3244CF3A" w14:textId="77777777" w:rsidR="00A56CA8" w:rsidRPr="006558BC" w:rsidRDefault="00A56CA8" w:rsidP="00D05219">
            <w:pPr>
              <w:pStyle w:val="ListParagraph"/>
              <w:numPr>
                <w:ilvl w:val="0"/>
                <w:numId w:val="9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Caution with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carbamazepime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and warfarin. Caution in renal, hepatic, or cardiac insufficiency and seizure disorders; hepatitis and benign hepatic adenoma have been observed with long-term therapy (&gt;10 y); thromboembolic events and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pseudotumor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cerebri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reported;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androgenlike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effects, including weight gain, acne,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hirsutism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, edema, hair loss, voice changes, and menstrual disturbances, occur.</w:t>
            </w:r>
            <w:r w:rsidRPr="006558BC">
              <w:rPr>
                <w:rFonts w:ascii="Arial" w:hAnsi="Arial"/>
                <w:sz w:val="14"/>
                <w:szCs w:val="16"/>
              </w:rPr>
              <w:br/>
            </w:r>
          </w:p>
          <w:p w14:paraId="14CEBB11" w14:textId="77777777" w:rsidR="00A56CA8" w:rsidRPr="006558BC" w:rsidRDefault="00A56CA8" w:rsidP="00D05219">
            <w:pPr>
              <w:pStyle w:val="ListParagraph"/>
              <w:numPr>
                <w:ilvl w:val="0"/>
                <w:numId w:val="9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Monitoring: LFTs, lipid profile, CBC, and UA q6 months. For adults with a dose of ≤200 mg/d: annual liver/spleen ultrasound. In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prepubertal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patients or adults with doses &gt;200 mg/d: liver/spleen ultrasound q6 months and annual α-fetoprotein. </w:t>
            </w:r>
          </w:p>
          <w:p w14:paraId="59EB2A3B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2DBFF5F9" w14:textId="77777777" w:rsidR="00A56CA8" w:rsidRPr="006558BC" w:rsidRDefault="00A56CA8" w:rsidP="00D05219">
            <w:pPr>
              <w:pStyle w:val="ListParagraph"/>
              <w:numPr>
                <w:ilvl w:val="0"/>
                <w:numId w:val="9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Pregnancy </w:t>
            </w:r>
            <w:proofErr w:type="gramStart"/>
            <w:r w:rsidRPr="006558BC">
              <w:rPr>
                <w:rFonts w:ascii="Arial" w:hAnsi="Arial"/>
                <w:sz w:val="14"/>
                <w:szCs w:val="16"/>
              </w:rPr>
              <w:t>category X. Androgen contraindications also include</w:t>
            </w:r>
            <w:proofErr w:type="gramEnd"/>
            <w:r w:rsidRPr="006558BC">
              <w:rPr>
                <w:rFonts w:ascii="Arial" w:hAnsi="Arial"/>
                <w:sz w:val="14"/>
                <w:szCs w:val="16"/>
              </w:rPr>
              <w:t xml:space="preserve"> lactation, cancer, hepatitis, and childhood (until puberty finished). </w:t>
            </w:r>
            <w:proofErr w:type="gramStart"/>
            <w:r w:rsidRPr="006558BC">
              <w:rPr>
                <w:rFonts w:ascii="Arial" w:hAnsi="Arial"/>
                <w:sz w:val="14"/>
                <w:szCs w:val="16"/>
              </w:rPr>
              <w:t>Short term</w:t>
            </w:r>
            <w:proofErr w:type="gramEnd"/>
            <w:r w:rsidRPr="006558BC">
              <w:rPr>
                <w:rFonts w:ascii="Arial" w:hAnsi="Arial"/>
                <w:sz w:val="14"/>
                <w:szCs w:val="16"/>
              </w:rPr>
              <w:t xml:space="preserve"> prophylaxis may be used during third trimester of pregnancy or in children if C1INH replacement not available.</w:t>
            </w:r>
          </w:p>
          <w:p w14:paraId="594620E6" w14:textId="77777777" w:rsidR="00A56CA8" w:rsidRPr="006558BC" w:rsidRDefault="00A56CA8" w:rsidP="00D05219">
            <w:pPr>
              <w:rPr>
                <w:rFonts w:ascii="Arial" w:hAnsi="Arial"/>
                <w:sz w:val="14"/>
                <w:szCs w:val="16"/>
              </w:rPr>
            </w:pPr>
          </w:p>
        </w:tc>
      </w:tr>
      <w:tr w:rsidR="00A56CA8" w:rsidRPr="00542E86" w14:paraId="04CECF15" w14:textId="77777777" w:rsidTr="00D05219">
        <w:trPr>
          <w:trHeight w:val="1736"/>
        </w:trPr>
        <w:tc>
          <w:tcPr>
            <w:tcW w:w="1710" w:type="dxa"/>
          </w:tcPr>
          <w:p w14:paraId="3F495E21" w14:textId="5F7A279D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r w:rsidRPr="00D05219">
              <w:rPr>
                <w:rFonts w:ascii="Arial" w:hAnsi="Arial"/>
                <w:b/>
                <w:sz w:val="16"/>
                <w:szCs w:val="16"/>
              </w:rPr>
              <w:t>ε-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aminocaproic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 acid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Amicar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</w:p>
          <w:p w14:paraId="7CACFD83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2F72F70F" w14:textId="687CC9DF" w:rsidR="004D1FA5" w:rsidRDefault="004D1FA5" w:rsidP="00D0521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500, 1000 mg</w:t>
            </w:r>
            <w:r w:rsidR="00D05219">
              <w:rPr>
                <w:rFonts w:ascii="Arial" w:hAnsi="Arial"/>
                <w:sz w:val="16"/>
                <w:szCs w:val="16"/>
              </w:rPr>
              <w:t xml:space="preserve"> tablets</w:t>
            </w:r>
          </w:p>
          <w:p w14:paraId="13868F84" w14:textId="16595E89" w:rsidR="00A56CA8" w:rsidRPr="00D05219" w:rsidRDefault="00D05219" w:rsidP="00D0521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0.25 g/mL </w:t>
            </w:r>
            <w:r w:rsidR="004D1FA5">
              <w:rPr>
                <w:rFonts w:ascii="Arial" w:hAnsi="Arial"/>
                <w:sz w:val="16"/>
                <w:szCs w:val="16"/>
              </w:rPr>
              <w:t xml:space="preserve">oral </w:t>
            </w:r>
            <w:r>
              <w:rPr>
                <w:rFonts w:ascii="Arial" w:hAnsi="Arial"/>
                <w:sz w:val="16"/>
                <w:szCs w:val="16"/>
              </w:rPr>
              <w:t>solution</w:t>
            </w:r>
          </w:p>
        </w:tc>
        <w:tc>
          <w:tcPr>
            <w:tcW w:w="2016" w:type="dxa"/>
          </w:tcPr>
          <w:p w14:paraId="2C3C776C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Lysine analog that inhibits fibrinolysis via inhibition of plasminogen activator substances and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antiplasmin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activity.</w:t>
            </w:r>
          </w:p>
          <w:p w14:paraId="26BE341E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69E21A1E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Half-life is 1-2 hours. Peak effect occurs within 2 hours.</w:t>
            </w:r>
          </w:p>
        </w:tc>
        <w:tc>
          <w:tcPr>
            <w:tcW w:w="3294" w:type="dxa"/>
          </w:tcPr>
          <w:p w14:paraId="2210EC1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Adult:</w:t>
            </w:r>
          </w:p>
          <w:p w14:paraId="7E3DACC7" w14:textId="77777777" w:rsidR="00A56CA8" w:rsidRPr="00D05219" w:rsidRDefault="00A56CA8" w:rsidP="00D05219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Acute attack: 8 g q4h IV, then 16 g/d</w:t>
            </w:r>
          </w:p>
          <w:p w14:paraId="1F1A559E" w14:textId="77777777" w:rsidR="00A56CA8" w:rsidRPr="00D05219" w:rsidRDefault="00A56CA8" w:rsidP="00D05219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Maintenance: 6-10 g/d PO</w:t>
            </w:r>
            <w:r w:rsidRPr="00D05219">
              <w:rPr>
                <w:rFonts w:ascii="Arial" w:hAnsi="Arial"/>
                <w:sz w:val="16"/>
                <w:szCs w:val="16"/>
              </w:rPr>
              <w:br/>
            </w:r>
          </w:p>
          <w:p w14:paraId="505343AC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Pediatric:</w:t>
            </w:r>
          </w:p>
          <w:p w14:paraId="2557FCF2" w14:textId="77777777" w:rsidR="00A56CA8" w:rsidRPr="00D05219" w:rsidRDefault="00A56CA8" w:rsidP="00D05219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8-10 g/d PO</w:t>
            </w:r>
          </w:p>
          <w:p w14:paraId="3B8F9320" w14:textId="77777777" w:rsidR="00A56CA8" w:rsidRPr="00D05219" w:rsidRDefault="00A56CA8" w:rsidP="00D05219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Not recommended in newborns</w:t>
            </w:r>
          </w:p>
          <w:p w14:paraId="0E0C09D8" w14:textId="77777777" w:rsidR="00A56CA8" w:rsidRPr="00D05219" w:rsidRDefault="00A56CA8" w:rsidP="00D05219">
            <w:pPr>
              <w:pStyle w:val="ListParagrap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EE2676D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x 500 mg: $103</w:t>
            </w:r>
          </w:p>
        </w:tc>
        <w:tc>
          <w:tcPr>
            <w:tcW w:w="5580" w:type="dxa"/>
          </w:tcPr>
          <w:p w14:paraId="4EA6B722" w14:textId="77777777" w:rsidR="00A56CA8" w:rsidRPr="006558BC" w:rsidRDefault="00A56CA8" w:rsidP="00D05219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Caution in cardiac, hepatic, or renal disease; adverse effects are postural hypotension, thrombosis, and muscular pain and weakness due to risk of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rhabdomyolysis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; caution in patients with upper urinary tract bleeding; caution with rapid infusions; do not administer with factor IX complex concentrates or anti-inhibitor coagulant complexes.</w:t>
            </w:r>
          </w:p>
          <w:p w14:paraId="6CCC7AFA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7B96AAAC" w14:textId="544B9F23" w:rsidR="00A56CA8" w:rsidRPr="006558BC" w:rsidRDefault="00A56CA8" w:rsidP="00D05219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Antifibrinolytics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have not been associated with excess thrombosis or myocardial infarction in controlled trials but there are case reports of thrombosis in patients with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hypercoagulable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states so it is prudent to use </w:t>
            </w:r>
            <w:r w:rsidR="00F4183E">
              <w:rPr>
                <w:rFonts w:ascii="Arial" w:hAnsi="Arial"/>
                <w:sz w:val="14"/>
                <w:szCs w:val="16"/>
              </w:rPr>
              <w:t>them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 cautiously if there is a family history of thrombophilia or active thromboembolic disease. </w:t>
            </w:r>
          </w:p>
          <w:p w14:paraId="5E1E9160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55BC0AAE" w14:textId="77777777" w:rsidR="00A56CA8" w:rsidRPr="006558BC" w:rsidRDefault="00A56CA8" w:rsidP="00D05219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Monitor CK and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aldolase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levels, UA, LFT, and renal function q6 months.</w:t>
            </w:r>
          </w:p>
          <w:p w14:paraId="29F2AA40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5D7A2873" w14:textId="77777777" w:rsidR="00A56CA8" w:rsidRPr="006558BC" w:rsidRDefault="00A56CA8" w:rsidP="00D05219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Antifibrinolytics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may not be as effective as androgen therapy in HAE but may be useful in acquired angioedema.</w:t>
            </w:r>
          </w:p>
          <w:p w14:paraId="326E9D65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5898E875" w14:textId="77777777" w:rsidR="00A56CA8" w:rsidRPr="006558BC" w:rsidRDefault="00A56CA8" w:rsidP="00D05219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Pregnancy category C.</w:t>
            </w:r>
          </w:p>
          <w:p w14:paraId="7D1AB641" w14:textId="77777777" w:rsidR="00A56CA8" w:rsidRPr="006558BC" w:rsidRDefault="00A56CA8" w:rsidP="00D05219">
            <w:pPr>
              <w:rPr>
                <w:rFonts w:ascii="Arial" w:hAnsi="Arial"/>
                <w:sz w:val="14"/>
                <w:szCs w:val="16"/>
              </w:rPr>
            </w:pPr>
          </w:p>
        </w:tc>
      </w:tr>
      <w:tr w:rsidR="00A56CA8" w:rsidRPr="00542E86" w14:paraId="0D710B9A" w14:textId="77777777" w:rsidTr="00D05219">
        <w:tc>
          <w:tcPr>
            <w:tcW w:w="1710" w:type="dxa"/>
          </w:tcPr>
          <w:p w14:paraId="0CEB08A9" w14:textId="28F3F7E5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Tranexamic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 acid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Cyklokapron</w:t>
            </w:r>
            <w:proofErr w:type="spellEnd"/>
            <w:r w:rsidR="00052C92">
              <w:rPr>
                <w:rFonts w:ascii="Arial" w:hAnsi="Arial"/>
                <w:b/>
                <w:sz w:val="16"/>
                <w:szCs w:val="16"/>
              </w:rPr>
              <w:t xml:space="preserve">, </w:t>
            </w:r>
            <w:proofErr w:type="spellStart"/>
            <w:r w:rsidR="00052C92">
              <w:rPr>
                <w:rFonts w:ascii="Arial" w:hAnsi="Arial"/>
                <w:b/>
                <w:sz w:val="16"/>
                <w:szCs w:val="16"/>
              </w:rPr>
              <w:t>Lysteda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</w:p>
          <w:p w14:paraId="2FB7FF6E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40CEF61A" w14:textId="33147F18" w:rsidR="00A56CA8" w:rsidRPr="00D05219" w:rsidRDefault="00D9597B" w:rsidP="00D0521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500</w:t>
            </w:r>
            <w:r w:rsidR="00052C92">
              <w:rPr>
                <w:rFonts w:ascii="Arial" w:hAnsi="Arial"/>
                <w:sz w:val="16"/>
                <w:szCs w:val="16"/>
              </w:rPr>
              <w:t>, 650 mg</w:t>
            </w:r>
            <w:r w:rsidR="004D1FA5">
              <w:rPr>
                <w:rFonts w:ascii="Arial" w:hAnsi="Arial"/>
                <w:sz w:val="16"/>
                <w:szCs w:val="16"/>
              </w:rPr>
              <w:t xml:space="preserve"> tablets</w:t>
            </w:r>
          </w:p>
        </w:tc>
        <w:tc>
          <w:tcPr>
            <w:tcW w:w="2016" w:type="dxa"/>
          </w:tcPr>
          <w:p w14:paraId="5EC426CC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Inhibits fibrinolysis by displacing plasminogen from fibrin.</w:t>
            </w:r>
          </w:p>
        </w:tc>
        <w:tc>
          <w:tcPr>
            <w:tcW w:w="3294" w:type="dxa"/>
          </w:tcPr>
          <w:p w14:paraId="26115AC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Adult:</w:t>
            </w:r>
          </w:p>
          <w:p w14:paraId="02D3F84F" w14:textId="77777777" w:rsidR="00A56CA8" w:rsidRPr="00D05219" w:rsidRDefault="00A56CA8" w:rsidP="00D05219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Acute attack: Up to 8 g PO/IV</w:t>
            </w:r>
          </w:p>
          <w:p w14:paraId="18E99FC8" w14:textId="77777777" w:rsidR="00A56CA8" w:rsidRPr="00D05219" w:rsidRDefault="00A56CA8" w:rsidP="00D05219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Long term prophylaxis: 20-50 mg/Kg/d div. bid or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tid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>, maximum 3-6 g/day</w:t>
            </w:r>
          </w:p>
          <w:p w14:paraId="55A36E29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79C5F5B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Pediatric:</w:t>
            </w:r>
          </w:p>
          <w:p w14:paraId="3A70004A" w14:textId="77777777" w:rsidR="00A56CA8" w:rsidRPr="00D05219" w:rsidRDefault="00A56CA8" w:rsidP="00D0521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12-25 mg/Kg/dose (not to exceed 1.5 g) PO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tid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>/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qid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5C7E122" w14:textId="77777777" w:rsidR="00A56CA8" w:rsidRPr="00D05219" w:rsidRDefault="00A56CA8" w:rsidP="00D05219">
            <w:pPr>
              <w:pStyle w:val="ListParagrap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014D5C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60 x 500 mg: $70</w:t>
            </w:r>
          </w:p>
        </w:tc>
        <w:tc>
          <w:tcPr>
            <w:tcW w:w="5580" w:type="dxa"/>
          </w:tcPr>
          <w:p w14:paraId="0A5A1A06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Caution in renal impairment; adverse effects are not common but include headaches, nausea, abdominal pain, and diarrhea; risk of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rhabdomyolysis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but less than in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aminocaproic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acid; evidence of tumor formation in retina and liver found in experimental animal models after long-term use; although no evidence has supported these findings in humans.</w:t>
            </w:r>
          </w:p>
          <w:p w14:paraId="3DA50CC8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7FE81BC2" w14:textId="43C5B6BE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Antifibrinolytics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have not been associated with excess thrombosis or myocardial infarction in controlled trials but there are case reports of thrombosis in patients with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hypercoagulable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states so it is prudent to use </w:t>
            </w:r>
            <w:r w:rsidR="00F4183E">
              <w:rPr>
                <w:rFonts w:ascii="Arial" w:hAnsi="Arial"/>
                <w:sz w:val="14"/>
                <w:szCs w:val="16"/>
              </w:rPr>
              <w:t>them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 cautiously if there is a family history of thrombophilia or active thromboembolic disease. </w:t>
            </w:r>
          </w:p>
          <w:p w14:paraId="067DF025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287268ED" w14:textId="62C3768D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Monitoring: CK, UA, LFT and renal function q6 months</w:t>
            </w:r>
            <w:proofErr w:type="gramStart"/>
            <w:r w:rsidRPr="006558BC">
              <w:rPr>
                <w:rFonts w:ascii="Arial" w:hAnsi="Arial"/>
                <w:sz w:val="14"/>
                <w:szCs w:val="16"/>
              </w:rPr>
              <w:t>;</w:t>
            </w:r>
            <w:proofErr w:type="gramEnd"/>
            <w:r w:rsidRPr="006558BC">
              <w:rPr>
                <w:rFonts w:ascii="Arial" w:hAnsi="Arial"/>
                <w:sz w:val="14"/>
                <w:szCs w:val="16"/>
              </w:rPr>
              <w:t xml:space="preserve"> annual ophthalmology check for eye pressure, baseline </w:t>
            </w:r>
            <w:r w:rsidR="00AF1716">
              <w:rPr>
                <w:rFonts w:ascii="Arial" w:hAnsi="Arial"/>
                <w:sz w:val="14"/>
                <w:szCs w:val="16"/>
              </w:rPr>
              <w:t xml:space="preserve">ophthalmology 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exam before long term use. </w:t>
            </w:r>
          </w:p>
          <w:p w14:paraId="48300964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75E50B21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Antifibrinolytics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may not be as effective as androgen therapy in HAE but may be useful in acquired angioedema.</w:t>
            </w:r>
          </w:p>
          <w:p w14:paraId="6EE8EDF7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78FE1C08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Mostly used for prophylaxis in children before Tanner 5 puberty or if not wanting to risk androgen prophylaxis</w:t>
            </w:r>
            <w:r w:rsidRPr="006558BC">
              <w:rPr>
                <w:rFonts w:ascii="Arial" w:hAnsi="Arial"/>
                <w:sz w:val="14"/>
                <w:szCs w:val="16"/>
              </w:rPr>
              <w:br/>
            </w:r>
          </w:p>
          <w:p w14:paraId="4786501F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Pregnancy category B.</w:t>
            </w:r>
          </w:p>
          <w:p w14:paraId="06BCA0CA" w14:textId="77777777" w:rsidR="00A56CA8" w:rsidRPr="006558BC" w:rsidRDefault="00A56CA8" w:rsidP="00D05219">
            <w:pPr>
              <w:ind w:hanging="648"/>
              <w:rPr>
                <w:rFonts w:ascii="Arial" w:hAnsi="Arial"/>
                <w:sz w:val="14"/>
                <w:szCs w:val="16"/>
              </w:rPr>
            </w:pPr>
          </w:p>
        </w:tc>
      </w:tr>
      <w:tr w:rsidR="00A56CA8" w:rsidRPr="00542E86" w14:paraId="55C2F433" w14:textId="77777777" w:rsidTr="00D05219">
        <w:trPr>
          <w:trHeight w:val="1907"/>
        </w:trPr>
        <w:tc>
          <w:tcPr>
            <w:tcW w:w="1710" w:type="dxa"/>
          </w:tcPr>
          <w:p w14:paraId="7B580C28" w14:textId="7BD74560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r w:rsidRPr="00D05219">
              <w:rPr>
                <w:rFonts w:ascii="Arial" w:hAnsi="Arial"/>
                <w:b/>
                <w:sz w:val="16"/>
                <w:szCs w:val="16"/>
              </w:rPr>
              <w:lastRenderedPageBreak/>
              <w:t>Fresh frozen plasma</w:t>
            </w:r>
            <w:r w:rsidR="0056598A" w:rsidRPr="00D05219">
              <w:rPr>
                <w:rFonts w:ascii="Arial" w:hAnsi="Arial"/>
                <w:b/>
                <w:sz w:val="16"/>
                <w:szCs w:val="16"/>
              </w:rPr>
              <w:t xml:space="preserve"> (FFP)</w:t>
            </w:r>
          </w:p>
          <w:p w14:paraId="0C8D74FB" w14:textId="77777777" w:rsidR="0056598A" w:rsidRPr="00D05219" w:rsidRDefault="0056598A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44D6B87C" w14:textId="429315C4" w:rsidR="0056598A" w:rsidRPr="00D05219" w:rsidRDefault="0056598A" w:rsidP="00D05219">
            <w:pPr>
              <w:rPr>
                <w:rFonts w:ascii="Arial" w:hAnsi="Arial"/>
                <w:b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1 unit (~400 mL)</w:t>
            </w:r>
          </w:p>
        </w:tc>
        <w:tc>
          <w:tcPr>
            <w:tcW w:w="2016" w:type="dxa"/>
          </w:tcPr>
          <w:p w14:paraId="7C7046F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Replacement of deficient or dysfunctional endogenous C1INH.</w:t>
            </w:r>
          </w:p>
          <w:p w14:paraId="7A5F2401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2EF53612" w14:textId="310204ED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Blood product: after </w:t>
            </w:r>
            <w:r w:rsidR="0056598A" w:rsidRPr="00D05219">
              <w:rPr>
                <w:rFonts w:ascii="Arial" w:hAnsi="Arial"/>
                <w:sz w:val="16"/>
                <w:szCs w:val="16"/>
              </w:rPr>
              <w:t xml:space="preserve">a unit of </w:t>
            </w:r>
            <w:r w:rsidRPr="00D05219">
              <w:rPr>
                <w:rFonts w:ascii="Arial" w:hAnsi="Arial"/>
                <w:sz w:val="16"/>
                <w:szCs w:val="16"/>
              </w:rPr>
              <w:t xml:space="preserve">blood </w:t>
            </w:r>
            <w:r w:rsidR="0056598A" w:rsidRPr="00D05219">
              <w:rPr>
                <w:rFonts w:ascii="Arial" w:hAnsi="Arial"/>
                <w:sz w:val="16"/>
                <w:szCs w:val="16"/>
              </w:rPr>
              <w:t>is drawn</w:t>
            </w:r>
            <w:r w:rsidRPr="00D05219">
              <w:rPr>
                <w:rFonts w:ascii="Arial" w:hAnsi="Arial"/>
                <w:sz w:val="16"/>
                <w:szCs w:val="16"/>
              </w:rPr>
              <w:t xml:space="preserve">, </w:t>
            </w:r>
            <w:r w:rsidR="0056598A" w:rsidRPr="00D05219">
              <w:rPr>
                <w:rFonts w:ascii="Arial" w:hAnsi="Arial"/>
                <w:sz w:val="16"/>
                <w:szCs w:val="16"/>
              </w:rPr>
              <w:t>cell component</w:t>
            </w:r>
            <w:r w:rsidR="000F21A4">
              <w:rPr>
                <w:rFonts w:ascii="Arial" w:hAnsi="Arial"/>
                <w:sz w:val="16"/>
                <w:szCs w:val="16"/>
              </w:rPr>
              <w:t>s</w:t>
            </w:r>
            <w:r w:rsidR="0056598A" w:rsidRPr="00D05219">
              <w:rPr>
                <w:rFonts w:ascii="Arial" w:hAnsi="Arial"/>
                <w:sz w:val="16"/>
                <w:szCs w:val="16"/>
              </w:rPr>
              <w:t xml:space="preserve"> (</w:t>
            </w:r>
            <w:r w:rsidRPr="00D05219">
              <w:rPr>
                <w:rFonts w:ascii="Arial" w:hAnsi="Arial"/>
                <w:sz w:val="16"/>
                <w:szCs w:val="16"/>
              </w:rPr>
              <w:t>WBC/RBC/</w:t>
            </w:r>
            <w:r w:rsidR="0056598A" w:rsidRPr="00D05219">
              <w:rPr>
                <w:rFonts w:ascii="Arial" w:hAnsi="Arial"/>
                <w:sz w:val="16"/>
                <w:szCs w:val="16"/>
              </w:rPr>
              <w:t xml:space="preserve"> </w:t>
            </w:r>
            <w:r w:rsidRPr="00D05219">
              <w:rPr>
                <w:rFonts w:ascii="Arial" w:hAnsi="Arial"/>
                <w:sz w:val="16"/>
                <w:szCs w:val="16"/>
              </w:rPr>
              <w:t>platelets</w:t>
            </w:r>
            <w:r w:rsidR="0056598A" w:rsidRPr="00D05219">
              <w:rPr>
                <w:rFonts w:ascii="Arial" w:hAnsi="Arial"/>
                <w:sz w:val="16"/>
                <w:szCs w:val="16"/>
              </w:rPr>
              <w:t>)</w:t>
            </w:r>
            <w:r w:rsidRPr="00D05219">
              <w:rPr>
                <w:rFonts w:ascii="Arial" w:hAnsi="Arial"/>
                <w:sz w:val="16"/>
                <w:szCs w:val="16"/>
              </w:rPr>
              <w:t xml:space="preserve"> removed by centrifugation and remaining portion is frozen.</w:t>
            </w:r>
          </w:p>
          <w:p w14:paraId="1028262F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94" w:type="dxa"/>
          </w:tcPr>
          <w:p w14:paraId="6F4DA426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Adolescent/adult:</w:t>
            </w:r>
          </w:p>
          <w:p w14:paraId="109F4629" w14:textId="77777777" w:rsidR="00A56CA8" w:rsidRPr="00D05219" w:rsidRDefault="00A56CA8" w:rsidP="00D0521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Acute attack: 1-2 units (400-800 mL) IV</w:t>
            </w:r>
          </w:p>
          <w:p w14:paraId="49534C37" w14:textId="77777777" w:rsidR="00A56CA8" w:rsidRPr="00D05219" w:rsidRDefault="00A56CA8" w:rsidP="00D0521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Short term prophylaxis for major procedure: 1-2 units (400-800 mL) IV 1-6 hours before procedure +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danazol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short term prophylaxis</w:t>
            </w:r>
          </w:p>
          <w:p w14:paraId="1B9FB219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588033EF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Pediatric:</w:t>
            </w:r>
          </w:p>
          <w:p w14:paraId="49554345" w14:textId="77777777" w:rsidR="00A56CA8" w:rsidRPr="00D05219" w:rsidRDefault="00A56CA8" w:rsidP="00A56CA8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Acute attack or short term prophylaxis: 10 mL/Kg</w:t>
            </w:r>
          </w:p>
          <w:p w14:paraId="67029A09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9DC41A7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0" w:type="dxa"/>
          </w:tcPr>
          <w:p w14:paraId="41CFA392" w14:textId="5C12BA40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Anecdotal reports of worsening angioedema. Universal precautions for blood-borne infection</w:t>
            </w:r>
            <w:r w:rsidR="002639A3" w:rsidRPr="006558BC">
              <w:rPr>
                <w:rFonts w:ascii="Arial" w:hAnsi="Arial"/>
                <w:sz w:val="14"/>
                <w:szCs w:val="16"/>
              </w:rPr>
              <w:t>.</w:t>
            </w:r>
          </w:p>
        </w:tc>
      </w:tr>
      <w:tr w:rsidR="00A56CA8" w:rsidRPr="00542E86" w14:paraId="2705341A" w14:textId="77777777" w:rsidTr="00D05219">
        <w:tc>
          <w:tcPr>
            <w:tcW w:w="1710" w:type="dxa"/>
          </w:tcPr>
          <w:p w14:paraId="331F3267" w14:textId="77777777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Nanofiltered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 human C1INH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Cinryze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</w:p>
          <w:p w14:paraId="4EDD662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1EA4734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500 unit vial</w:t>
            </w:r>
          </w:p>
        </w:tc>
        <w:tc>
          <w:tcPr>
            <w:tcW w:w="2016" w:type="dxa"/>
          </w:tcPr>
          <w:p w14:paraId="25E762D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Replacement of deficient or dysfunctional endogenous C1INH.</w:t>
            </w:r>
          </w:p>
        </w:tc>
        <w:tc>
          <w:tcPr>
            <w:tcW w:w="3294" w:type="dxa"/>
          </w:tcPr>
          <w:p w14:paraId="38C7386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Adolescent/adult:</w:t>
            </w:r>
          </w:p>
          <w:p w14:paraId="4DCBBC02" w14:textId="77777777" w:rsidR="00A56CA8" w:rsidRPr="00D05219" w:rsidRDefault="00A56CA8" w:rsidP="00D0521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Abdominal or facial attacks: 20 U/Kg IV, infusion rate ≤4 mL/min</w:t>
            </w:r>
            <w:r w:rsidRPr="00D05219">
              <w:rPr>
                <w:rFonts w:ascii="Arial" w:hAnsi="Arial"/>
                <w:sz w:val="16"/>
                <w:szCs w:val="16"/>
              </w:rPr>
              <w:br/>
            </w:r>
          </w:p>
          <w:p w14:paraId="1BF8647B" w14:textId="77777777" w:rsidR="00A56CA8" w:rsidRPr="00D05219" w:rsidRDefault="00A56CA8" w:rsidP="00D0521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Short term prophylaxis for major procedure: 10-20 U/Kg IV 1-6 hours before procedure </w:t>
            </w:r>
          </w:p>
          <w:p w14:paraId="23338EAA" w14:textId="77777777" w:rsidR="00A56CA8" w:rsidRPr="00D05219" w:rsidRDefault="00A56CA8" w:rsidP="00D05219">
            <w:pPr>
              <w:pStyle w:val="ListParagraph"/>
              <w:rPr>
                <w:rFonts w:ascii="Arial" w:hAnsi="Arial"/>
                <w:sz w:val="16"/>
                <w:szCs w:val="16"/>
              </w:rPr>
            </w:pPr>
          </w:p>
          <w:p w14:paraId="0BF4CA48" w14:textId="77777777" w:rsidR="00A56CA8" w:rsidRPr="00D05219" w:rsidRDefault="00A56CA8" w:rsidP="00D0521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Long term prophylaxis: 1000 U IV over 10 min q3-4 days</w:t>
            </w:r>
          </w:p>
          <w:p w14:paraId="4900DA50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0C404B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500 unit vial: $2340</w:t>
            </w:r>
          </w:p>
          <w:p w14:paraId="3AF55ED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7243EB5D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70 Kg </w:t>
            </w:r>
            <w:proofErr w:type="gramStart"/>
            <w:r w:rsidRPr="00D05219">
              <w:rPr>
                <w:rFonts w:ascii="Arial" w:hAnsi="Arial"/>
                <w:sz w:val="16"/>
                <w:szCs w:val="16"/>
              </w:rPr>
              <w:t>patient</w:t>
            </w:r>
            <w:proofErr w:type="gramEnd"/>
            <w:r w:rsidRPr="00D05219">
              <w:rPr>
                <w:rFonts w:ascii="Arial" w:hAnsi="Arial"/>
                <w:sz w:val="16"/>
                <w:szCs w:val="16"/>
              </w:rPr>
              <w:t>: $9360 (4 vials) for acute treatment, $243,360 per year for biweekly prophylaxis.</w:t>
            </w:r>
          </w:p>
        </w:tc>
        <w:tc>
          <w:tcPr>
            <w:tcW w:w="5580" w:type="dxa"/>
          </w:tcPr>
          <w:p w14:paraId="126855D4" w14:textId="19B66ED4" w:rsid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Severe hypersensitivit</w:t>
            </w:r>
            <w:r w:rsidR="006558BC">
              <w:rPr>
                <w:rFonts w:ascii="Arial" w:hAnsi="Arial"/>
                <w:sz w:val="14"/>
                <w:szCs w:val="16"/>
              </w:rPr>
              <w:t>y may occur and result in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urticaria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, chest tightness, wheezing, hypotension, and/or a</w:t>
            </w:r>
            <w:r w:rsidR="006558BC">
              <w:rPr>
                <w:rFonts w:ascii="Arial" w:hAnsi="Arial"/>
                <w:sz w:val="14"/>
                <w:szCs w:val="16"/>
              </w:rPr>
              <w:t>naphylaxis</w:t>
            </w:r>
            <w:r w:rsidRPr="006558BC">
              <w:rPr>
                <w:rFonts w:ascii="Arial" w:hAnsi="Arial"/>
                <w:sz w:val="14"/>
                <w:szCs w:val="16"/>
              </w:rPr>
              <w:t>; thrombotic events have been reported with high doses</w:t>
            </w:r>
            <w:r w:rsidR="006558BC">
              <w:rPr>
                <w:rFonts w:ascii="Arial" w:hAnsi="Arial"/>
                <w:sz w:val="14"/>
                <w:szCs w:val="16"/>
              </w:rPr>
              <w:t xml:space="preserve"> .20 U/Kg</w:t>
            </w:r>
            <w:r w:rsidRPr="006558BC">
              <w:rPr>
                <w:rFonts w:ascii="Arial" w:hAnsi="Arial"/>
                <w:sz w:val="14"/>
                <w:szCs w:val="16"/>
              </w:rPr>
              <w:t>; as with all products derived from human blood, universal precautions for infection transmission should be used; common adverse effects (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ie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, &gt;5%) include URTIs, </w:t>
            </w:r>
            <w:r w:rsidR="006558BC">
              <w:rPr>
                <w:rFonts w:ascii="Arial" w:hAnsi="Arial"/>
                <w:sz w:val="14"/>
                <w:szCs w:val="16"/>
              </w:rPr>
              <w:t>sinusitis, rash, and headache.</w:t>
            </w:r>
          </w:p>
          <w:p w14:paraId="79A369DD" w14:textId="77777777" w:rsidR="006558BC" w:rsidRDefault="006558BC" w:rsidP="006558BC">
            <w:pPr>
              <w:pStyle w:val="ListParagraph"/>
              <w:ind w:left="342"/>
              <w:rPr>
                <w:rFonts w:ascii="Arial" w:hAnsi="Arial"/>
                <w:sz w:val="14"/>
                <w:szCs w:val="16"/>
              </w:rPr>
            </w:pPr>
          </w:p>
          <w:p w14:paraId="32A954C2" w14:textId="57206FA8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Pregnancy category C. </w:t>
            </w:r>
          </w:p>
          <w:p w14:paraId="252567A0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</w:tc>
      </w:tr>
      <w:tr w:rsidR="00A56CA8" w:rsidRPr="00542E86" w14:paraId="334E9DE0" w14:textId="77777777" w:rsidTr="00D05219">
        <w:tc>
          <w:tcPr>
            <w:tcW w:w="1710" w:type="dxa"/>
          </w:tcPr>
          <w:p w14:paraId="0DAC8E28" w14:textId="47B158AB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r w:rsidRPr="00D05219">
              <w:rPr>
                <w:rFonts w:ascii="Arial" w:hAnsi="Arial"/>
                <w:b/>
                <w:sz w:val="16"/>
                <w:szCs w:val="16"/>
              </w:rPr>
              <w:t>Human C1INH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Berinert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</w:p>
          <w:p w14:paraId="2FD65DAA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4DD40106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500 unit vial</w:t>
            </w:r>
          </w:p>
        </w:tc>
        <w:tc>
          <w:tcPr>
            <w:tcW w:w="2016" w:type="dxa"/>
          </w:tcPr>
          <w:p w14:paraId="59381AD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Replacement of deficient or dysfunctional endogenous C1INH.</w:t>
            </w:r>
          </w:p>
          <w:p w14:paraId="586ABE3D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121107F9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Half-life 18.4 ± 3.5 hours</w:t>
            </w:r>
          </w:p>
        </w:tc>
        <w:tc>
          <w:tcPr>
            <w:tcW w:w="3294" w:type="dxa"/>
          </w:tcPr>
          <w:p w14:paraId="326B9ED2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Adolescent/adult ≥13 years old acute attack:</w:t>
            </w:r>
          </w:p>
          <w:p w14:paraId="65B89D14" w14:textId="77777777" w:rsidR="00A56CA8" w:rsidRPr="00D05219" w:rsidRDefault="00A56CA8" w:rsidP="00A56CA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20 U/Kg IV, infusion rate ≤4 mL/min</w:t>
            </w:r>
            <w:r w:rsidRPr="00D05219"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1620" w:type="dxa"/>
          </w:tcPr>
          <w:p w14:paraId="766EEA5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500 unit vial: $850</w:t>
            </w:r>
          </w:p>
          <w:p w14:paraId="18212942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4B38830C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70 Kg patient = $3400 (4 vials)</w:t>
            </w:r>
          </w:p>
        </w:tc>
        <w:tc>
          <w:tcPr>
            <w:tcW w:w="5580" w:type="dxa"/>
          </w:tcPr>
          <w:p w14:paraId="5208346E" w14:textId="09919B05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Made from human plasma and may contain infectious agents,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eg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, viruses and, theoretically, Creutzfeldt-Jakob disease (CJD). Hyper-sensitivity reactions</w:t>
            </w:r>
            <w:r w:rsidR="006558BC">
              <w:rPr>
                <w:rFonts w:ascii="Arial" w:hAnsi="Arial"/>
                <w:sz w:val="14"/>
                <w:szCs w:val="16"/>
              </w:rPr>
              <w:t xml:space="preserve"> may occur and result in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urticaria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, chest tightness, wheezing, hypotension, and/or anaphylaxi</w:t>
            </w:r>
            <w:r w:rsidR="006558BC">
              <w:rPr>
                <w:rFonts w:ascii="Arial" w:hAnsi="Arial"/>
                <w:sz w:val="14"/>
                <w:szCs w:val="16"/>
              </w:rPr>
              <w:t>s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; thrombotic events have </w:t>
            </w:r>
            <w:r w:rsidR="006558BC">
              <w:rPr>
                <w:rFonts w:ascii="Arial" w:hAnsi="Arial"/>
                <w:sz w:val="14"/>
                <w:szCs w:val="16"/>
              </w:rPr>
              <w:t>occurred with high doses &gt;20 U/K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g; common adverse effects (&gt;4%) include nausea, vomiting, diarrhea,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dysgeusia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, abdominal pain, muscle spasms, and headache; may increase severity of pain associated with HAE.</w:t>
            </w:r>
            <w:r w:rsidRPr="006558BC">
              <w:rPr>
                <w:rFonts w:ascii="Arial" w:hAnsi="Arial"/>
                <w:sz w:val="14"/>
                <w:szCs w:val="16"/>
              </w:rPr>
              <w:br/>
            </w:r>
          </w:p>
          <w:p w14:paraId="1FD04E55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Pregnancy category C. It is not known whether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Berinert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is excreted in human milk.</w:t>
            </w:r>
          </w:p>
          <w:p w14:paraId="1559DBB6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</w:tc>
      </w:tr>
      <w:tr w:rsidR="00A56CA8" w:rsidRPr="00542E86" w14:paraId="0637816A" w14:textId="77777777" w:rsidTr="00D05219">
        <w:trPr>
          <w:trHeight w:val="1430"/>
        </w:trPr>
        <w:tc>
          <w:tcPr>
            <w:tcW w:w="1710" w:type="dxa"/>
          </w:tcPr>
          <w:p w14:paraId="6A0B5C29" w14:textId="77777777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r w:rsidRPr="00D05219">
              <w:rPr>
                <w:rFonts w:ascii="Arial" w:hAnsi="Arial"/>
                <w:b/>
                <w:sz w:val="16"/>
                <w:szCs w:val="16"/>
              </w:rPr>
              <w:t>Recombinant human C1INH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Ruconest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, 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Rhucin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  <w:r w:rsidRPr="00D05219">
              <w:rPr>
                <w:rFonts w:ascii="Arial" w:hAnsi="Arial"/>
                <w:b/>
                <w:sz w:val="16"/>
                <w:szCs w:val="16"/>
              </w:rPr>
              <w:br/>
            </w:r>
          </w:p>
          <w:p w14:paraId="50DB7D2A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0F5DA028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6EAEF480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16" w:type="dxa"/>
          </w:tcPr>
          <w:p w14:paraId="48E6C5E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Replacement of deficient or dysfunctional endogenous C1INH. </w:t>
            </w:r>
          </w:p>
          <w:p w14:paraId="58428B2D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3185602E" w14:textId="77777777" w:rsidR="00A56CA8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Secreted in transgenic rabbit’s milk; identical amino acid seq</w:t>
            </w:r>
            <w:r w:rsidR="006558BC">
              <w:rPr>
                <w:rFonts w:ascii="Arial" w:hAnsi="Arial"/>
                <w:sz w:val="16"/>
                <w:szCs w:val="16"/>
              </w:rPr>
              <w:t>uence to endogenous human C1INH</w:t>
            </w:r>
          </w:p>
          <w:p w14:paraId="0BE224E7" w14:textId="7DA4ACC8" w:rsidR="006558BC" w:rsidRPr="00D05219" w:rsidRDefault="006558BC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94" w:type="dxa"/>
          </w:tcPr>
          <w:p w14:paraId="7DAE6670" w14:textId="122EB886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Adult: 50-100 U/Kg</w:t>
            </w:r>
            <w:r w:rsidR="0056598A" w:rsidRPr="00D05219">
              <w:rPr>
                <w:rFonts w:ascii="Arial" w:hAnsi="Arial"/>
                <w:sz w:val="16"/>
                <w:szCs w:val="16"/>
              </w:rPr>
              <w:t xml:space="preserve"> reported in literature</w:t>
            </w:r>
          </w:p>
        </w:tc>
        <w:tc>
          <w:tcPr>
            <w:tcW w:w="1620" w:type="dxa"/>
          </w:tcPr>
          <w:p w14:paraId="269CE38E" w14:textId="2C64BFDD" w:rsidR="00A56CA8" w:rsidRPr="00D05219" w:rsidRDefault="0056598A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5580" w:type="dxa"/>
          </w:tcPr>
          <w:p w14:paraId="6BD284A4" w14:textId="6350177F" w:rsidR="00A56CA8" w:rsidRPr="006558BC" w:rsidRDefault="0056598A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Likely to be similar to plasma-derived C1INH except there is no risk of human blood-borne infection.</w:t>
            </w:r>
          </w:p>
        </w:tc>
      </w:tr>
      <w:tr w:rsidR="00A56CA8" w:rsidRPr="00542E86" w14:paraId="5129D2C7" w14:textId="77777777" w:rsidTr="00D05219">
        <w:trPr>
          <w:trHeight w:val="2960"/>
        </w:trPr>
        <w:tc>
          <w:tcPr>
            <w:tcW w:w="1710" w:type="dxa"/>
          </w:tcPr>
          <w:p w14:paraId="1A6C8079" w14:textId="64C7915C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Icatibant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Firazyr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</w:p>
          <w:p w14:paraId="4F8967F0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6565550D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mg (3 mL) syringe</w:t>
            </w:r>
          </w:p>
        </w:tc>
        <w:tc>
          <w:tcPr>
            <w:tcW w:w="2016" w:type="dxa"/>
          </w:tcPr>
          <w:p w14:paraId="7B7CBF0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Bradykinin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B2 receptor antagonist</w:t>
            </w:r>
          </w:p>
          <w:p w14:paraId="7BB900D9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0362838A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Following subcutaneous administration, the absolute bioavailability is 97%. The time to maximum concentration is ~0.5 hours. The half-life is 1-2 hours. Mainly eliminated by liver metabolism with less than 10% of the dose eliminated in the urine as unchanged drug. </w:t>
            </w:r>
          </w:p>
        </w:tc>
        <w:tc>
          <w:tcPr>
            <w:tcW w:w="3294" w:type="dxa"/>
          </w:tcPr>
          <w:p w14:paraId="755CFE9A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Adult acute attack: </w:t>
            </w:r>
          </w:p>
          <w:p w14:paraId="0BA04000" w14:textId="77777777" w:rsidR="00A56CA8" w:rsidRPr="00D05219" w:rsidRDefault="00A56CA8" w:rsidP="00A56CA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mg SQ</w:t>
            </w:r>
          </w:p>
          <w:p w14:paraId="1DC402C3" w14:textId="77777777" w:rsidR="00A56CA8" w:rsidRPr="00D05219" w:rsidRDefault="00A56CA8" w:rsidP="00A56CA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In case of insufficient relief or recurrence of symptoms, a second dose can be given after 6 hours, if the second dose produces insufficient relief or if symptoms recur, a third doe can be given after a further 6 hours. No more than 3 injections should be given in a </w:t>
            </w:r>
            <w:proofErr w:type="gramStart"/>
            <w:r w:rsidRPr="00D05219">
              <w:rPr>
                <w:rFonts w:ascii="Arial" w:hAnsi="Arial"/>
                <w:sz w:val="16"/>
                <w:szCs w:val="16"/>
              </w:rPr>
              <w:t>24 hour</w:t>
            </w:r>
            <w:proofErr w:type="gramEnd"/>
            <w:r w:rsidRPr="00D05219">
              <w:rPr>
                <w:rFonts w:ascii="Arial" w:hAnsi="Arial"/>
                <w:sz w:val="16"/>
                <w:szCs w:val="16"/>
              </w:rPr>
              <w:t xml:space="preserve"> period.</w:t>
            </w:r>
          </w:p>
          <w:p w14:paraId="03AAC69D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9922B5C" w14:textId="2569AE05" w:rsidR="00A56CA8" w:rsidRPr="00D05219" w:rsidRDefault="0056598A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5580" w:type="dxa"/>
          </w:tcPr>
          <w:p w14:paraId="0796365A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Special precautions: In ischemic heart disease, a deterioration of cardiac function and a decrease in coronary blood flow could theoretically arise from antagonism of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bradykinin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B2 receptor. Caution when administering to patients with acute ischemic heart disease or unstable angina pectoris. In addition, caution should be observed in the administration of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icatibant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to patients in the weeks following a stroke. Although there is evidence to support a beneficial effect of B2 receptor blockade immediately following a stroke, there is a theoretical possibility that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icatibant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may attenuate the positive late phase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neuroprotective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effects of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bradykinin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. </w:t>
            </w:r>
          </w:p>
          <w:p w14:paraId="28AFCA94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7AFB45DC" w14:textId="77777777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Most common adverse reaction is self-limited erythema, swelling, warm sensation, burning, itching, and cutaneous pain at the injection site.</w:t>
            </w:r>
            <w:r w:rsidRPr="006558BC">
              <w:rPr>
                <w:rFonts w:ascii="Arial" w:hAnsi="Arial"/>
                <w:sz w:val="14"/>
                <w:szCs w:val="16"/>
              </w:rPr>
              <w:br/>
            </w:r>
          </w:p>
          <w:p w14:paraId="14B40EAC" w14:textId="6ADFD8C1" w:rsidR="00A56CA8" w:rsidRPr="006558BC" w:rsidRDefault="00A56CA8" w:rsidP="00D05219">
            <w:pPr>
              <w:pStyle w:val="ListParagraph"/>
              <w:numPr>
                <w:ilvl w:val="0"/>
                <w:numId w:val="5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Icatibant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should be used during pregnancy only if the potential benefit justifies the potential risk </w:t>
            </w:r>
            <w:r w:rsidR="000864BE">
              <w:rPr>
                <w:rFonts w:ascii="Arial" w:hAnsi="Arial"/>
                <w:sz w:val="14"/>
                <w:szCs w:val="16"/>
              </w:rPr>
              <w:t>to</w:t>
            </w:r>
            <w:r w:rsidRPr="006558BC">
              <w:rPr>
                <w:rFonts w:ascii="Arial" w:hAnsi="Arial"/>
                <w:sz w:val="14"/>
                <w:szCs w:val="16"/>
              </w:rPr>
              <w:t xml:space="preserve"> the fetus, (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e.g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for treatment of potentially life threatening laryngeal attacks). It is unknown whether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icatibant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is excreted in human breast milk but it is recommended that breastfeeding women should not breastfeed for 12 hours after treatment.</w:t>
            </w:r>
          </w:p>
          <w:p w14:paraId="5AA398CD" w14:textId="77777777" w:rsidR="0056598A" w:rsidRPr="006558BC" w:rsidRDefault="0056598A" w:rsidP="00D05219">
            <w:pPr>
              <w:rPr>
                <w:rFonts w:ascii="Arial" w:hAnsi="Arial"/>
                <w:sz w:val="14"/>
                <w:szCs w:val="16"/>
              </w:rPr>
            </w:pPr>
          </w:p>
        </w:tc>
      </w:tr>
      <w:tr w:rsidR="00A56CA8" w:rsidRPr="00542E86" w14:paraId="380889A9" w14:textId="77777777" w:rsidTr="00D05219">
        <w:tc>
          <w:tcPr>
            <w:tcW w:w="1710" w:type="dxa"/>
          </w:tcPr>
          <w:p w14:paraId="4C88021F" w14:textId="77777777" w:rsidR="00A56CA8" w:rsidRPr="00D05219" w:rsidRDefault="00A56CA8" w:rsidP="00D05219">
            <w:pPr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Ecallantide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 xml:space="preserve"> (</w:t>
            </w:r>
            <w:proofErr w:type="spellStart"/>
            <w:r w:rsidRPr="00D05219">
              <w:rPr>
                <w:rFonts w:ascii="Arial" w:hAnsi="Arial"/>
                <w:b/>
                <w:sz w:val="16"/>
                <w:szCs w:val="16"/>
              </w:rPr>
              <w:t>Kalbitor</w:t>
            </w:r>
            <w:proofErr w:type="spellEnd"/>
            <w:r w:rsidRPr="00D05219">
              <w:rPr>
                <w:rFonts w:ascii="Arial" w:hAnsi="Arial"/>
                <w:b/>
                <w:sz w:val="16"/>
                <w:szCs w:val="16"/>
              </w:rPr>
              <w:t>)</w:t>
            </w:r>
          </w:p>
          <w:p w14:paraId="18C63355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06AC1614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 x 10 mg (1 mL) syringes</w:t>
            </w:r>
            <w:bookmarkStart w:id="0" w:name="_GoBack"/>
            <w:bookmarkEnd w:id="0"/>
          </w:p>
        </w:tc>
        <w:tc>
          <w:tcPr>
            <w:tcW w:w="2016" w:type="dxa"/>
          </w:tcPr>
          <w:p w14:paraId="12D7BAB6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Plasma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kallikrein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inhibitor.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Ecallantide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binds to plasma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kallikrein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and blocks its binding site, inhibiting the conversion of HMW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kininogen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to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bradykinin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>.</w:t>
            </w:r>
          </w:p>
          <w:p w14:paraId="7922897E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3D019B83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Produced by yeast (</w:t>
            </w:r>
            <w:r w:rsidRPr="00D05219">
              <w:rPr>
                <w:rFonts w:ascii="Arial" w:hAnsi="Arial"/>
                <w:i/>
                <w:sz w:val="16"/>
                <w:szCs w:val="16"/>
              </w:rPr>
              <w:t xml:space="preserve">P. </w:t>
            </w:r>
            <w:proofErr w:type="spellStart"/>
            <w:r w:rsidRPr="00D05219">
              <w:rPr>
                <w:rFonts w:ascii="Arial" w:hAnsi="Arial"/>
                <w:i/>
                <w:sz w:val="16"/>
                <w:szCs w:val="16"/>
              </w:rPr>
              <w:t>pastoris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>).</w:t>
            </w:r>
          </w:p>
          <w:p w14:paraId="01B7CA6F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02DDAFA3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Maximum plasma concentration was observed approximately 2-3 hours post-dose. </w:t>
            </w:r>
            <w:proofErr w:type="spellStart"/>
            <w:r w:rsidRPr="00D05219">
              <w:rPr>
                <w:rFonts w:ascii="Arial" w:hAnsi="Arial"/>
                <w:sz w:val="16"/>
                <w:szCs w:val="16"/>
              </w:rPr>
              <w:t>Ecallantide</w:t>
            </w:r>
            <w:proofErr w:type="spellEnd"/>
            <w:r w:rsidRPr="00D05219">
              <w:rPr>
                <w:rFonts w:ascii="Arial" w:hAnsi="Arial"/>
                <w:sz w:val="16"/>
                <w:szCs w:val="16"/>
              </w:rPr>
              <w:t xml:space="preserve"> is a small protein and renal elimination has been demonstrated.</w:t>
            </w:r>
          </w:p>
        </w:tc>
        <w:tc>
          <w:tcPr>
            <w:tcW w:w="3294" w:type="dxa"/>
          </w:tcPr>
          <w:p w14:paraId="0DA7B33F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Adolescent/adult ≥16 years old acute attack: </w:t>
            </w:r>
          </w:p>
          <w:p w14:paraId="759436BE" w14:textId="77777777" w:rsidR="00A56CA8" w:rsidRPr="00D05219" w:rsidRDefault="00A56CA8" w:rsidP="00A56CA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30 mg given as three 10 mg SQ injections. </w:t>
            </w:r>
          </w:p>
          <w:p w14:paraId="52051ED0" w14:textId="77777777" w:rsidR="00A56CA8" w:rsidRPr="00D05219" w:rsidRDefault="00A56CA8" w:rsidP="00A56CA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 xml:space="preserve">If attack persists, additional 30 mg may be given within a </w:t>
            </w:r>
            <w:proofErr w:type="gramStart"/>
            <w:r w:rsidRPr="00D05219">
              <w:rPr>
                <w:rFonts w:ascii="Arial" w:hAnsi="Arial"/>
                <w:sz w:val="16"/>
                <w:szCs w:val="16"/>
              </w:rPr>
              <w:t>24 hour</w:t>
            </w:r>
            <w:proofErr w:type="gramEnd"/>
            <w:r w:rsidRPr="00D05219">
              <w:rPr>
                <w:rFonts w:ascii="Arial" w:hAnsi="Arial"/>
                <w:sz w:val="16"/>
                <w:szCs w:val="16"/>
              </w:rPr>
              <w:t xml:space="preserve"> period (at least 4 hours after initial dose).</w:t>
            </w:r>
          </w:p>
          <w:p w14:paraId="297BE8B5" w14:textId="77777777" w:rsidR="00A56CA8" w:rsidRPr="00D05219" w:rsidRDefault="00A56CA8" w:rsidP="00A56CA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The site for each injection may be in the same or different locations (abdomen, thigh, upper arm). Sites should be separated by 5 cm and away from the anatomical site of attack.</w:t>
            </w:r>
          </w:p>
          <w:p w14:paraId="119B24C0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  <w:p w14:paraId="07DD87AF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Pediatric acute attack (off-label):</w:t>
            </w:r>
          </w:p>
          <w:p w14:paraId="58AB0550" w14:textId="77777777" w:rsidR="00A56CA8" w:rsidRPr="00D05219" w:rsidRDefault="00A56CA8" w:rsidP="00A56CA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10-20 mg given as 1-2 10 mg SQ injections</w:t>
            </w:r>
          </w:p>
          <w:p w14:paraId="33F7A581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E951EBB" w14:textId="77777777" w:rsidR="00A56CA8" w:rsidRPr="00D05219" w:rsidRDefault="00A56CA8" w:rsidP="00D05219">
            <w:pPr>
              <w:rPr>
                <w:rFonts w:ascii="Arial" w:hAnsi="Arial"/>
                <w:sz w:val="16"/>
                <w:szCs w:val="16"/>
              </w:rPr>
            </w:pPr>
            <w:r w:rsidRPr="00D05219">
              <w:rPr>
                <w:rFonts w:ascii="Arial" w:hAnsi="Arial"/>
                <w:sz w:val="16"/>
                <w:szCs w:val="16"/>
              </w:rPr>
              <w:t>30 mg: $7950</w:t>
            </w:r>
          </w:p>
        </w:tc>
        <w:tc>
          <w:tcPr>
            <w:tcW w:w="5580" w:type="dxa"/>
          </w:tcPr>
          <w:p w14:paraId="79C8AFBE" w14:textId="77777777" w:rsidR="00A56CA8" w:rsidRPr="006558BC" w:rsidRDefault="00A56CA8" w:rsidP="00D05219">
            <w:pPr>
              <w:pStyle w:val="ListParagraph"/>
              <w:numPr>
                <w:ilvl w:val="0"/>
                <w:numId w:val="8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FDA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blackbox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warning for anaphylaxis: occurred in 3.9% of treated patients. Given the similarity in hypersensitivity symptoms and acute HAE, monitor patients closely for hypersensitivity reactions.</w:t>
            </w:r>
          </w:p>
          <w:p w14:paraId="230AF4A0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7657677A" w14:textId="77777777" w:rsidR="00A56CA8" w:rsidRPr="006558BC" w:rsidRDefault="00A56CA8" w:rsidP="00D05219">
            <w:pPr>
              <w:pStyle w:val="ListParagraph"/>
              <w:numPr>
                <w:ilvl w:val="0"/>
                <w:numId w:val="8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Patients may develop antibodies to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ecallantide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. Rates of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seroconversion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increase with exposure In the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Kalbitor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HAE program, 7.4% of patients seroconverted to anti-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ecallantide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antibodies. Neutralizing antibodies to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ecallantide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were determined in vitro to be present in 4.7% of patients. Anti-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ecallantide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and anti-</w:t>
            </w:r>
            <w:r w:rsidRPr="006558BC">
              <w:rPr>
                <w:rFonts w:ascii="Arial" w:hAnsi="Arial"/>
                <w:i/>
                <w:sz w:val="14"/>
                <w:szCs w:val="16"/>
              </w:rPr>
              <w:t xml:space="preserve">P. </w:t>
            </w:r>
            <w:proofErr w:type="spellStart"/>
            <w:proofErr w:type="gramStart"/>
            <w:r w:rsidRPr="006558BC">
              <w:rPr>
                <w:rFonts w:ascii="Arial" w:hAnsi="Arial"/>
                <w:i/>
                <w:sz w:val="14"/>
                <w:szCs w:val="16"/>
              </w:rPr>
              <w:t>pastoris</w:t>
            </w:r>
            <w:proofErr w:type="spellEnd"/>
            <w:proofErr w:type="gramEnd"/>
            <w:r w:rsidRPr="006558BC">
              <w:rPr>
                <w:rFonts w:ascii="Arial" w:hAnsi="Arial"/>
                <w:sz w:val="14"/>
                <w:szCs w:val="16"/>
              </w:rPr>
              <w:t xml:space="preserve">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IgE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antibodies were also detected. Patients who seroconvert may be at a higher risk of a hypersensitivity reaction. The long-term effects of antibodies to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ecallantide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 xml:space="preserve"> are not known.</w:t>
            </w:r>
          </w:p>
          <w:p w14:paraId="1229ACDB" w14:textId="77777777" w:rsidR="00A56CA8" w:rsidRPr="006558BC" w:rsidRDefault="00A56CA8" w:rsidP="00D05219">
            <w:pPr>
              <w:ind w:left="342" w:hanging="270"/>
              <w:rPr>
                <w:rFonts w:ascii="Arial" w:hAnsi="Arial"/>
                <w:sz w:val="14"/>
                <w:szCs w:val="16"/>
              </w:rPr>
            </w:pPr>
          </w:p>
          <w:p w14:paraId="63D91902" w14:textId="77777777" w:rsidR="00A56CA8" w:rsidRPr="006558BC" w:rsidRDefault="00A56CA8" w:rsidP="00D05219">
            <w:pPr>
              <w:pStyle w:val="ListParagraph"/>
              <w:numPr>
                <w:ilvl w:val="0"/>
                <w:numId w:val="8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 xml:space="preserve">The most common adverse reactions occurring in ≥3% of treated patients and greater than placebo are headache, nausea, diarrhea, pyrexia, injection site reactions, and </w:t>
            </w:r>
            <w:proofErr w:type="spellStart"/>
            <w:r w:rsidRPr="006558BC">
              <w:rPr>
                <w:rFonts w:ascii="Arial" w:hAnsi="Arial"/>
                <w:sz w:val="14"/>
                <w:szCs w:val="16"/>
              </w:rPr>
              <w:t>nasopharyngitis</w:t>
            </w:r>
            <w:proofErr w:type="spellEnd"/>
            <w:r w:rsidRPr="006558BC">
              <w:rPr>
                <w:rFonts w:ascii="Arial" w:hAnsi="Arial"/>
                <w:sz w:val="14"/>
                <w:szCs w:val="16"/>
              </w:rPr>
              <w:t>.</w:t>
            </w:r>
            <w:r w:rsidRPr="006558BC">
              <w:rPr>
                <w:rFonts w:ascii="Arial" w:hAnsi="Arial"/>
                <w:sz w:val="14"/>
                <w:szCs w:val="16"/>
              </w:rPr>
              <w:br/>
            </w:r>
          </w:p>
          <w:p w14:paraId="1AA15E8F" w14:textId="77777777" w:rsidR="00A56CA8" w:rsidRPr="006558BC" w:rsidRDefault="00A56CA8" w:rsidP="00D05219">
            <w:pPr>
              <w:pStyle w:val="ListParagraph"/>
              <w:numPr>
                <w:ilvl w:val="0"/>
                <w:numId w:val="8"/>
              </w:numPr>
              <w:ind w:left="342" w:hanging="270"/>
              <w:rPr>
                <w:rFonts w:ascii="Arial" w:hAnsi="Arial"/>
                <w:sz w:val="14"/>
                <w:szCs w:val="16"/>
              </w:rPr>
            </w:pPr>
            <w:r w:rsidRPr="006558BC">
              <w:rPr>
                <w:rFonts w:ascii="Arial" w:hAnsi="Arial"/>
                <w:sz w:val="14"/>
                <w:szCs w:val="16"/>
              </w:rPr>
              <w:t>Pregnancy category C.</w:t>
            </w:r>
          </w:p>
          <w:p w14:paraId="3BB55EF4" w14:textId="77777777" w:rsidR="00A56CA8" w:rsidRPr="006558BC" w:rsidRDefault="00A56CA8" w:rsidP="00D05219">
            <w:pPr>
              <w:rPr>
                <w:rFonts w:ascii="Arial" w:hAnsi="Arial"/>
                <w:sz w:val="14"/>
                <w:szCs w:val="16"/>
              </w:rPr>
            </w:pPr>
          </w:p>
        </w:tc>
      </w:tr>
    </w:tbl>
    <w:p w14:paraId="3A95FC20" w14:textId="77777777" w:rsidR="001C24E3" w:rsidRDefault="001C24E3"/>
    <w:sectPr w:rsidR="001C24E3" w:rsidSect="00A56CA8">
      <w:pgSz w:w="15840" w:h="12240" w:orient="landscape"/>
      <w:pgMar w:top="630" w:right="1440" w:bottom="5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0DD1"/>
    <w:multiLevelType w:val="hybridMultilevel"/>
    <w:tmpl w:val="510EE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44163"/>
    <w:multiLevelType w:val="hybridMultilevel"/>
    <w:tmpl w:val="CD502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D66AB"/>
    <w:multiLevelType w:val="hybridMultilevel"/>
    <w:tmpl w:val="4AA87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B52F9"/>
    <w:multiLevelType w:val="hybridMultilevel"/>
    <w:tmpl w:val="B5A2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50FB6"/>
    <w:multiLevelType w:val="hybridMultilevel"/>
    <w:tmpl w:val="D1C06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FB56F0"/>
    <w:multiLevelType w:val="hybridMultilevel"/>
    <w:tmpl w:val="FF422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272E13"/>
    <w:multiLevelType w:val="hybridMultilevel"/>
    <w:tmpl w:val="BC72E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450B8D"/>
    <w:multiLevelType w:val="hybridMultilevel"/>
    <w:tmpl w:val="7F402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06637"/>
    <w:multiLevelType w:val="hybridMultilevel"/>
    <w:tmpl w:val="37508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B507D"/>
    <w:multiLevelType w:val="hybridMultilevel"/>
    <w:tmpl w:val="3E140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A8"/>
    <w:rsid w:val="00052C92"/>
    <w:rsid w:val="000864BE"/>
    <w:rsid w:val="000F21A4"/>
    <w:rsid w:val="001C24E3"/>
    <w:rsid w:val="001F0A7C"/>
    <w:rsid w:val="002639A3"/>
    <w:rsid w:val="004D1FA5"/>
    <w:rsid w:val="0056598A"/>
    <w:rsid w:val="006558BC"/>
    <w:rsid w:val="00A56CA8"/>
    <w:rsid w:val="00AF1716"/>
    <w:rsid w:val="00B45E04"/>
    <w:rsid w:val="00D05219"/>
    <w:rsid w:val="00D9597B"/>
    <w:rsid w:val="00DF00DC"/>
    <w:rsid w:val="00F418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78A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1539</Words>
  <Characters>8776</Characters>
  <Application>Microsoft Macintosh Word</Application>
  <DocSecurity>0</DocSecurity>
  <Lines>73</Lines>
  <Paragraphs>20</Paragraphs>
  <ScaleCrop>false</ScaleCrop>
  <Company/>
  <LinksUpToDate>false</LinksUpToDate>
  <CharactersWithSpaces>10295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Ari</cp:lastModifiedBy>
  <cp:revision>10</cp:revision>
  <dcterms:created xsi:type="dcterms:W3CDTF">2010-09-16T23:29:00Z</dcterms:created>
  <dcterms:modified xsi:type="dcterms:W3CDTF">2010-09-19T16:22:00Z</dcterms:modified>
</cp:coreProperties>
</file>